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Konrad Stawiski</w:t>
      </w:r>
    </w:p>
    <w:p>
      <w:pPr>
        <w:pStyle w:val="Subtitle"/>
      </w:pPr>
      <w:r>
        <w:t xml:space="preserve">Lekarz specjalista radioterapii onkologicznej i badacz kliniczno-translacyjny</w:t>
      </w:r>
    </w:p>
    <w:p>
      <w:pPr>
        <w:pStyle w:val="FirstParagraph"/>
      </w:pPr>
      <w:r>
        <w:t xml:space="preserve">Lekarz specjalista radioterapii onkologicznej i badacz kliniczno-translacyjny zajmujący się radioterapią nowotworów układu moczowo-płciowego i przewodu pokarmowego, opieką nad chorymi na raka pęcherza/prostaty/odbytnicy, radiomiką, biomarkerami omicznymi, modelowaniem toksyczności radioterapii i praktycznymi zastosowaniami AI w medycynie.</w:t>
      </w:r>
    </w:p>
    <w:p>
      <w:pPr>
        <w:pStyle w:val="BodyText"/>
      </w:pPr>
      <w:r>
        <w:rPr>
          <w:b/>
          <w:bCs/>
        </w:rPr>
        <w:t xml:space="preserve">Kontakt i profile:</w:t>
      </w:r>
      <w:r>
        <w:t xml:space="preserve"> </w:t>
      </w:r>
      <w:hyperlink r:id="rId9">
        <w:r>
          <w:rPr>
            <w:rStyle w:val="Hyperlink"/>
          </w:rPr>
          <w:t xml:space="preserve">konrad@konsta.com.pl</w:t>
        </w:r>
      </w:hyperlink>
      <w:r>
        <w:t xml:space="preserve">;</w:t>
      </w:r>
      <w:r>
        <w:t xml:space="preserve"> </w:t>
      </w:r>
      <w:hyperlink r:id="rId10">
        <w:r>
          <w:rPr>
            <w:rStyle w:val="Hyperlink"/>
          </w:rPr>
          <w:t xml:space="preserve">Harvard Catalyst</w:t>
        </w:r>
      </w:hyperlink>
      <w:r>
        <w:t xml:space="preserve">;</w:t>
      </w:r>
      <w:r>
        <w:t xml:space="preserve"> </w:t>
      </w:r>
      <w:hyperlink r:id="rId11">
        <w:r>
          <w:rPr>
            <w:rStyle w:val="Hyperlink"/>
          </w:rPr>
          <w:t xml:space="preserve">ORCID</w:t>
        </w:r>
      </w:hyperlink>
      <w:r>
        <w:t xml:space="preserve">;</w:t>
      </w:r>
      <w:r>
        <w:t xml:space="preserve"> </w:t>
      </w:r>
      <w:hyperlink r:id="rId12">
        <w:r>
          <w:rPr>
            <w:rStyle w:val="Hyperlink"/>
          </w:rPr>
          <w:t xml:space="preserve">PubMed</w:t>
        </w:r>
      </w:hyperlink>
      <w:r>
        <w:t xml:space="preserve">;</w:t>
      </w:r>
      <w:r>
        <w:t xml:space="preserve"> </w:t>
      </w:r>
      <w:hyperlink r:id="rId13">
        <w:r>
          <w:rPr>
            <w:rStyle w:val="Hyperlink"/>
          </w:rPr>
          <w:t xml:space="preserve">OpenAlex</w:t>
        </w:r>
      </w:hyperlink>
      <w:r>
        <w:t xml:space="preserve">;</w:t>
      </w:r>
      <w:r>
        <w:t xml:space="preserve"> </w:t>
      </w:r>
      <w:hyperlink r:id="rId14">
        <w:r>
          <w:rPr>
            <w:rStyle w:val="Hyperlink"/>
          </w:rPr>
          <w:t xml:space="preserve">Google Scholar</w:t>
        </w:r>
      </w:hyperlink>
      <w:r>
        <w:t xml:space="preserve">;</w:t>
      </w:r>
      <w:r>
        <w:t xml:space="preserve"> </w:t>
      </w:r>
      <w:hyperlink r:id="rId15">
        <w:r>
          <w:rPr>
            <w:rStyle w:val="Hyperlink"/>
          </w:rPr>
          <w:t xml:space="preserve">GitHub</w:t>
        </w:r>
      </w:hyperlink>
      <w:r>
        <w:t xml:space="preserve">.</w:t>
      </w:r>
    </w:p>
    <w:bookmarkStart w:id="16" w:name="aktualne-role-i-profil-kliniczny"/>
    <w:p>
      <w:pPr>
        <w:pStyle w:val="Heading1"/>
      </w:pPr>
      <w:r>
        <w:t xml:space="preserve">Aktualne role i profil kliniczny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Visiting Assistant Professor of Radiation Oncology</w:t>
      </w:r>
      <w:r>
        <w:t xml:space="preserve">, Dana-Farber Cancer Institute, Boston, MA, USA.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Adiunkt</w:t>
      </w:r>
      <w:r>
        <w:t xml:space="preserve">, Zakład Biostatystyki i Medycyny Translacyjnej, Uniwersytet Medyczny w Łodzi; opiekun SKN Sztuczna Inteligencja w Onkologii.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Lekarz specjalista radioterapii onkologicznej i zastępca kierownika Oddziału Brachyterapii i Onkologii Ogólnej</w:t>
      </w:r>
      <w:r>
        <w:t xml:space="preserve">, Szpital im. M. Kopernika w Łodzi; zastępca lekarza kierującego 34-łóżkowym oddziałem.</w:t>
      </w:r>
    </w:p>
    <w:p>
      <w:pPr>
        <w:pStyle w:val="Compact"/>
        <w:numPr>
          <w:ilvl w:val="0"/>
          <w:numId w:val="1001"/>
        </w:numPr>
      </w:pPr>
      <w:r>
        <w:t xml:space="preserve">Zakres kliniczny: szeroka praktyka radioterapeutyczna ze szczególnym uwzględnieniem nowotworów układu moczowo-płciowego i przewodu pokarmowego, w tym raka prostaty, pęcherza i odbytnicy; SBRT/SRS, brachyterapia, radiochemioterapia i radioimmunoterapia.</w:t>
      </w:r>
    </w:p>
    <w:bookmarkEnd w:id="16"/>
    <w:bookmarkStart w:id="17" w:name="podsumowanie"/>
    <w:p>
      <w:pPr>
        <w:pStyle w:val="Heading1"/>
      </w:pPr>
      <w:r>
        <w:t xml:space="preserve">Podsumowanie</w:t>
      </w:r>
    </w:p>
    <w:p>
      <w:pPr>
        <w:pStyle w:val="FirstParagraph"/>
      </w:pPr>
      <w:r>
        <w:t xml:space="preserve">Konrad Stawiski łączy kliniczną radioterapię nowotworów układu moczowo-płciowego i przewodu pokarmowego z onkologią translacyjną, radiomiką, biomarkerami omicznymi, modelowaniem toksyczności radioterapii oraz praktycznymi zastosowaniami AI w medycynie.</w:t>
      </w:r>
    </w:p>
    <w:p>
      <w:pPr>
        <w:pStyle w:val="BodyText"/>
      </w:pPr>
      <w:r>
        <w:t xml:space="preserve">Uporządkowana lista publikacji Google Scholar obejmuje 93 rekordów; profil podaje H-index 19 oraz 1 095 cytowań. Jest Partner PI i liderem polskiej grupy w konsorcjum ERA PerMed miRPOC, kierownikiem projektów NCN PRELUDIUM i Radonek-AI oraz współtwórcą rodzin patentowych dotyczących krążących mikroRNA w raku trzustki i raku jajnika.</w:t>
      </w:r>
    </w:p>
    <w:p>
      <w:pPr>
        <w:pStyle w:val="BodyText"/>
      </w:pPr>
      <w:r>
        <w:t xml:space="preserve">Jego portfolio kliniczno-translacyjne obejmuje udział w badaniach klinicznych faz I/II-III, otwarte oprogramowanie badawcze, wybrane projekty digital health, działalność redakcyjną jako Editorial Board Member w BMC Cancer oraz członkostwo w ESTRO AI in RT Focus Group.</w:t>
      </w:r>
    </w:p>
    <w:bookmarkEnd w:id="17"/>
    <w:bookmarkStart w:id="21" w:name="współpraca-międzynarodowa"/>
    <w:p>
      <w:pPr>
        <w:pStyle w:val="Heading1"/>
      </w:pPr>
      <w:r>
        <w:t xml:space="preserve">Współpraca międzynarodowa</w:t>
      </w:r>
    </w:p>
    <w:p>
      <w:pPr>
        <w:pStyle w:val="FirstParagraph"/>
      </w:pPr>
      <w:r>
        <w:t xml:space="preserve">OpenAlex wskazuje obecnie współautorów publikacji afiliowanych w 16 krajach poza Polską. Najczęściej reprezentowane: USA (44), Wlk. Bryt. (7), Grecja (5), Węgry (5).</w:t>
      </w:r>
    </w:p>
    <w:p>
      <w:pPr>
        <w:pStyle w:val="BodyText"/>
      </w:pPr>
      <w:r>
        <w:drawing>
          <wp:inline>
            <wp:extent cx="6477000" cy="2919881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figures/knitr-pl/profile-collaboration-map-pl-1.pn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9198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1"/>
    <w:bookmarkStart w:id="25" w:name="wybrane-publikacje-i-wkład"/>
    <w:p>
      <w:pPr>
        <w:pStyle w:val="Heading1"/>
      </w:pPr>
      <w:r>
        <w:t xml:space="preserve">Wybrane publikacje i wkład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Pierwszy autor / translacyjna onkologia układu moczowego:</w:t>
      </w:r>
      <w:r>
        <w:t xml:space="preserve"> </w:t>
      </w:r>
      <w:r>
        <w:t xml:space="preserve">Stawiski K, Perera-Bel J, Rodriguez-Vida A, Juanpere N, Lee J, Michaud DE, Guerriero JL, Mouw KW, Bamias A, Carvalho FLF, Bellmunt J.</w:t>
      </w:r>
      <w:r>
        <w:t xml:space="preserve"> </w:t>
      </w:r>
      <w:r>
        <w:rPr>
          <w:b/>
          <w:bCs/>
        </w:rPr>
        <w:t xml:space="preserve">Tumor B-cell infiltration in platinum-treated advanced muscle-invasive urothelial carcinoma.</w:t>
      </w:r>
      <w:r>
        <w:t xml:space="preserve"> </w:t>
      </w:r>
      <w:r>
        <w:rPr>
          <w:i/>
          <w:iCs/>
        </w:rPr>
        <w:t xml:space="preserve">Molecular Oncology.</w:t>
      </w:r>
      <w:r>
        <w:t xml:space="preserve"> </w:t>
      </w:r>
      <w:r>
        <w:t xml:space="preserve">2026 Jun 1. doi:</w:t>
      </w:r>
      <w:r>
        <w:t xml:space="preserve"> </w:t>
      </w:r>
      <w:hyperlink r:id="rId22">
        <w:r>
          <w:rPr>
            <w:rStyle w:val="Hyperlink"/>
          </w:rPr>
          <w:t xml:space="preserve">10.1002/1878-0261.70276</w:t>
        </w:r>
      </w:hyperlink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Rak pęcherza / współpraca DFCI-Broad:</w:t>
      </w:r>
      <w:r>
        <w:t xml:space="preserve"> </w:t>
      </w:r>
      <w:r>
        <w:t xml:space="preserve">Zhou Y, Borcsok J, Adib E, Kamran SC, Neil AJ, Stawiski K, et al. </w:t>
      </w:r>
      <w:r>
        <w:rPr>
          <w:b/>
          <w:bCs/>
        </w:rPr>
        <w:t xml:space="preserve">ATM deficiency confers specific therapeutic vulnerabilities in bladder cancer.</w:t>
      </w:r>
      <w:r>
        <w:t xml:space="preserve"> </w:t>
      </w:r>
      <w:r>
        <w:rPr>
          <w:i/>
          <w:iCs/>
        </w:rPr>
        <w:t xml:space="preserve">Science Advances.</w:t>
      </w:r>
      <w:r>
        <w:t xml:space="preserve"> </w:t>
      </w:r>
      <w:r>
        <w:t xml:space="preserve">2023;9:eadg2263. doi:</w:t>
      </w:r>
      <w:r>
        <w:t xml:space="preserve"> </w:t>
      </w:r>
      <w:hyperlink r:id="rId23">
        <w:r>
          <w:rPr>
            <w:rStyle w:val="Hyperlink"/>
          </w:rPr>
          <w:t xml:space="preserve">10.1126/sciadv.adg2263</w:t>
        </w:r>
      </w:hyperlink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AI kliniczne / uroonkologia:</w:t>
      </w:r>
      <w:r>
        <w:t xml:space="preserve"> </w:t>
      </w:r>
      <w:r>
        <w:t xml:space="preserve">Jobczyk M, Stawiski K, Kaszkowiak M, Rajwa P, Różański W, Soria F, et al. </w:t>
      </w:r>
      <w:r>
        <w:rPr>
          <w:b/>
          <w:bCs/>
        </w:rPr>
        <w:t xml:space="preserve">Deep learning-based recalibration of the CUETO and EORTC prediction tools for recurrence and progression of non-muscle-invasive bladder cancer.</w:t>
      </w:r>
      <w:r>
        <w:t xml:space="preserve"> </w:t>
      </w:r>
      <w:r>
        <w:rPr>
          <w:i/>
          <w:iCs/>
        </w:rPr>
        <w:t xml:space="preserve">European Urology Oncology.</w:t>
      </w:r>
      <w:r>
        <w:t xml:space="preserve"> </w:t>
      </w:r>
      <w:r>
        <w:t xml:space="preserve">2022;5:109-112.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Oprogramowanie badawcze / modelowanie danych omicznych:</w:t>
      </w:r>
      <w:r>
        <w:t xml:space="preserve"> </w:t>
      </w:r>
      <w:r>
        <w:t xml:space="preserve">Stawiski K, Kaszkowiak M, Mikulski D, Hogendorf P, Durczyński A, et al. </w:t>
      </w:r>
      <w:r>
        <w:rPr>
          <w:b/>
          <w:bCs/>
        </w:rPr>
        <w:t xml:space="preserve">OmicSelector: automatic feature selection and deep learning modeling for omic experiments.</w:t>
      </w:r>
      <w:r>
        <w:t xml:space="preserve"> </w:t>
      </w:r>
      <w:r>
        <w:rPr>
          <w:i/>
          <w:iCs/>
        </w:rPr>
        <w:t xml:space="preserve">bioRxiv.</w:t>
      </w:r>
      <w:r>
        <w:t xml:space="preserve"> </w:t>
      </w:r>
      <w:r>
        <w:t xml:space="preserve">2022. doi:</w:t>
      </w:r>
      <w:r>
        <w:t xml:space="preserve"> </w:t>
      </w:r>
      <w:hyperlink r:id="rId24">
        <w:r>
          <w:rPr>
            <w:rStyle w:val="Hyperlink"/>
          </w:rPr>
          <w:t xml:space="preserve">10.1101/2022.06.01.494299</w:t>
        </w:r>
      </w:hyperlink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Walidacja biomarkerów miRNA:</w:t>
      </w:r>
      <w:r>
        <w:t xml:space="preserve"> </w:t>
      </w:r>
      <w:r>
        <w:t xml:space="preserve">Stawiski K, Fortner RT, Pestarino L, Umu SU, Kaaks R, Rounge TB, et al. </w:t>
      </w:r>
      <w:r>
        <w:rPr>
          <w:b/>
          <w:bCs/>
        </w:rPr>
        <w:t xml:space="preserve">Validation of miRNA signatures for ovarian cancer earlier detection in the pre-diagnosis setting using machine learning approaches.</w:t>
      </w:r>
      <w:r>
        <w:t xml:space="preserve"> </w:t>
      </w:r>
      <w:r>
        <w:rPr>
          <w:i/>
          <w:iCs/>
        </w:rPr>
        <w:t xml:space="preserve">Frontiers in Oncology.</w:t>
      </w:r>
      <w:r>
        <w:t xml:space="preserve"> </w:t>
      </w:r>
      <w:r>
        <w:t xml:space="preserve">2024;14:1389066.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Toksyczność radioterapii / analizy dose-volume:</w:t>
      </w:r>
      <w:r>
        <w:t xml:space="preserve"> </w:t>
      </w:r>
      <w:r>
        <w:t xml:space="preserve">Nowicka Z, Kuna K, Łaszczych M, Łazar-Poniatowska M, Sobocki BK, Stawiski K, et al. </w:t>
      </w:r>
      <w:r>
        <w:rPr>
          <w:b/>
          <w:bCs/>
        </w:rPr>
        <w:t xml:space="preserve">Dose-volume metric-based prediction of radiotherapy-induced lymphocyte loss.</w:t>
      </w:r>
      <w:r>
        <w:t xml:space="preserve"> </w:t>
      </w:r>
      <w:r>
        <w:rPr>
          <w:i/>
          <w:iCs/>
        </w:rPr>
        <w:t xml:space="preserve">Physics and Imaging in Radiation Oncology.</w:t>
      </w:r>
      <w:r>
        <w:t xml:space="preserve"> </w:t>
      </w:r>
      <w:r>
        <w:t xml:space="preserve">2024;30:100593.</w:t>
      </w:r>
    </w:p>
    <w:bookmarkEnd w:id="25"/>
    <w:bookmarkStart w:id="26" w:name="granty-nagrody-patenty"/>
    <w:p>
      <w:pPr>
        <w:pStyle w:val="Heading1"/>
      </w:pPr>
      <w:r>
        <w:t xml:space="preserve">Granty, nagrody, patenty</w:t>
      </w:r>
    </w:p>
    <w:p>
      <w:pPr>
        <w:pStyle w:val="Compact"/>
        <w:numPr>
          <w:ilvl w:val="0"/>
          <w:numId w:val="1003"/>
        </w:numPr>
      </w:pPr>
      <w:r>
        <w:t xml:space="preserve">ERA PerMed miRPOC, Joint Transnational Call 2022: całkowity budżet konsorcjum ok. 1 000 000 EUR;</w:t>
      </w:r>
      <w:r>
        <w:t xml:space="preserve"> </w:t>
      </w:r>
      <w:r>
        <w:rPr>
          <w:b/>
          <w:bCs/>
        </w:rPr>
        <w:t xml:space="preserve">Partner PI / lider polskiej grupy</w:t>
      </w:r>
      <w:r>
        <w:t xml:space="preserve"> </w:t>
      </w:r>
      <w:r>
        <w:t xml:space="preserve">w Uniwersytecie Medycznym w Łodzi.</w:t>
      </w:r>
    </w:p>
    <w:p>
      <w:pPr>
        <w:pStyle w:val="Compact"/>
        <w:numPr>
          <w:ilvl w:val="0"/>
          <w:numId w:val="1003"/>
        </w:numPr>
      </w:pPr>
      <w:r>
        <w:t xml:space="preserve">Stypendium Programu im. prof. Franciszka Walczaka NAWA, 2025: jeden z 31 laureatów; sześciomiesięczny pobyt w Dana-Farber / Harvard Medical School dotyczący leczenia oszczędzającego pęcherz.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Projekty kierowane jako PI:</w:t>
      </w:r>
      <w:r>
        <w:t xml:space="preserve"> </w:t>
      </w:r>
      <w:r>
        <w:t xml:space="preserve">NCN PRELUDIUM, 2019-2022, głębokie sieci neuronowe dla profili miRNA w raku trzustki; Radonek-AI, 2023-2024, wirtualny asystent pacjenta onkologicznego (70 000 PLN).</w:t>
      </w:r>
    </w:p>
    <w:p>
      <w:pPr>
        <w:pStyle w:val="Compact"/>
        <w:numPr>
          <w:ilvl w:val="0"/>
          <w:numId w:val="1003"/>
        </w:numPr>
      </w:pPr>
      <w:r>
        <w:t xml:space="preserve">Rodziny patentowe: krążące sygnatury mikroRNA dla raka trzustki i raka jajnika.</w:t>
      </w:r>
    </w:p>
    <w:bookmarkEnd w:id="26"/>
    <w:bookmarkStart w:id="28" w:name="Xb2662da0be201c9e29b7cfa64104eede8834e01"/>
    <w:p>
      <w:pPr>
        <w:pStyle w:val="Heading1"/>
      </w:pPr>
      <w:r>
        <w:t xml:space="preserve">Badania kliniczne i oprogramowanie badawcze</w:t>
      </w:r>
    </w:p>
    <w:p>
      <w:pPr>
        <w:pStyle w:val="Compact"/>
        <w:numPr>
          <w:ilvl w:val="0"/>
          <w:numId w:val="1004"/>
        </w:numPr>
      </w:pPr>
      <w:r>
        <w:t xml:space="preserve">Wybrane komercyjne badania kliniczne jako subinvestigator / lokalny zespół kliniczny: TALAPRO-2 (mCRPC), KEYNOTE-867 (radiochemioterapia NDRP + pembrolizumab), KEYNOTE-689 (rak głowy i szyi), CALLA (rak szyjki macicy, radiochemioterapia + durwalumab), NC-6004-009 (zaawansowane guzy lite).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Narzędzia danych radioterapeutycznych:</w:t>
      </w:r>
      <w:r>
        <w:t xml:space="preserve"> </w:t>
      </w:r>
      <w:r>
        <w:t xml:space="preserve">RTpipeline dla danych DICOM RT, analiz dose-volume, radiomiki i uczenia maszynowego; rect-ril dla predykcji ciężkiej limfopenii popromiennej w raku odbytnicy (Zenodo DOI 10.5281/zenodo.19595346).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Oprogramowanie omiczne i do analizy wariantów:</w:t>
      </w:r>
      <w:r>
        <w:t xml:space="preserve"> </w:t>
      </w:r>
      <w:r>
        <w:t xml:space="preserve">Somatic Likelihood Tiering dla priorytetyzacji wariantów WES tumor-only; OmicSelector / OmicApp do selekcji cech i modelowania deep learning.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Notatnik Medyczny:</w:t>
      </w:r>
      <w:r>
        <w:t xml:space="preserve"> </w:t>
      </w:r>
      <w:r>
        <w:t xml:space="preserve">wybrany projekt digital health dla ustrukturyzowanej dokumentacji klinicznej; publiczny prototyp hackathonowy ADK:</w:t>
      </w:r>
      <w:r>
        <w:t xml:space="preserve"> </w:t>
      </w:r>
      <w:hyperlink r:id="rId27">
        <w:r>
          <w:rPr>
            <w:rStyle w:val="Hyperlink"/>
          </w:rPr>
          <w:t xml:space="preserve">github.com/kstawiski/notatnik-adk-slice-public</w:t>
        </w:r>
      </w:hyperlink>
      <w:r>
        <w:t xml:space="preserve">.</w:t>
      </w:r>
    </w:p>
    <w:bookmarkEnd w:id="28"/>
    <w:sectPr>
      <w:footnotePr>
        <w:numRestart w:val="eachSect"/>
      </w:footnotePr>
      <w:pgSz w:h="16838" w:w="11906"/>
      <w:pgMar w:bottom="850" w:footer="400" w:gutter="0" w:header="400" w:left="850" w:right="850" w:top="85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pl-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rPr>
      <w:rFonts w:ascii="Open Sans" w:cs="Open Sans" w:eastAsia="Open Sans" w:hAnsi="Open Sans"/>
      <w:sz w:val="19"/>
      <w:szCs w:val="19"/>
      <w:color w:val="202A32"/>
    </w:rPr>
    <w:pPr>
      <w:spacing w:after="52" w:before="0" w:line="238" w:lineRule="auto"/>
      <w:widowControl/>
    </w:pPr>
  </w:style>
  <w:style w:styleId="BodyText" w:type="paragraph">
    <w:name w:val="Body Text"/>
    <w:basedOn w:val="Normal"/>
    <w:link w:val="BodyTextChar"/>
    <w:qFormat/>
    <w:pPr>
      <w:spacing w:after="52" w:before="0" w:line="238" w:lineRule="auto"/>
      <w:widowControl/>
    </w:pPr>
    <w:rPr>
      <w:rFonts w:ascii="Open Sans" w:cs="Open Sans" w:eastAsia="Open Sans" w:hAnsi="Open Sans"/>
      <w:sz w:val="19"/>
      <w:szCs w:val="19"/>
      <w:color w:val="202A32"/>
    </w:rPr>
  </w:style>
  <w:style w:customStyle="1" w:styleId="FirstParagraph" w:type="paragraph">
    <w:name w:val="First Paragraph"/>
    <w:basedOn w:val="BodyText"/>
    <w:next w:val="BodyText"/>
    <w:qFormat/>
    <w:rPr>
      <w:rFonts w:ascii="Open Sans" w:cs="Open Sans" w:eastAsia="Open Sans" w:hAnsi="Open Sans"/>
      <w:sz w:val="19"/>
      <w:szCs w:val="19"/>
      <w:color w:val="202A32"/>
    </w:rPr>
    <w:pPr>
      <w:spacing w:after="52" w:before="0" w:line="238" w:lineRule="auto"/>
      <w:widowControl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contextualSpacing/>
      <w:jc w:val="center"/>
      <w:spacing w:after="92" w:before="0" w:line="238" w:lineRule="auto"/>
      <w:widowControl/>
    </w:pPr>
    <w:rPr>
      <w:rFonts w:ascii="Open Sans" w:cs="Open Sans" w:eastAsia="Open Sans" w:hAnsi="Open Sans"/>
      <w:sz w:val="44"/>
      <w:szCs w:val="44"/>
      <w:color w:val="173A4A"/>
      <w:b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  <w:spacing w:after="92" w:before="0" w:line="238" w:lineRule="auto"/>
      <w:widowControl/>
    </w:pPr>
    <w:rPr>
      <w:spacing w:val="15"/>
      <w:rFonts w:ascii="Open Sans" w:cs="Open Sans" w:eastAsia="Open Sans" w:hAnsi="Open Sans"/>
      <w:sz w:val="22"/>
      <w:szCs w:val="22"/>
      <w:color w:val="5A6872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75" w:before="210" w:line="238" w:lineRule="auto"/>
      <w:widowControl/>
      <w:outlineLvl w:val="0"/>
      <w:pBdr>
        <w:bottom w:color="167C80" w:space="3" w:sz="8" w:val="single"/>
      </w:pBdr>
    </w:pPr>
    <w:rPr>
      <w:rFonts w:ascii="Open Sans" w:cs="Open Sans" w:eastAsia="Open Sans" w:hAnsi="Open Sans"/>
      <w:sz w:val="29"/>
      <w:szCs w:val="29"/>
      <w:color w:val="173A4A"/>
      <w:b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45" w:before="145" w:line="238" w:lineRule="auto"/>
      <w:widowControl/>
      <w:outlineLvl w:val="1"/>
    </w:pPr>
    <w:rPr>
      <w:rFonts w:ascii="Open Sans" w:cs="Open Sans" w:eastAsia="Open Sans" w:hAnsi="Open Sans"/>
      <w:sz w:val="23"/>
      <w:szCs w:val="23"/>
      <w:color w:val="2B5C7C"/>
      <w:b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30" w:before="105" w:line="238" w:lineRule="auto"/>
      <w:widowControl/>
      <w:outlineLvl w:val="2"/>
    </w:pPr>
    <w:rPr>
      <w:rFonts w:ascii="Open Sans" w:cs="Open Sans" w:eastAsia="Open Sans" w:hAnsi="Open Sans"/>
      <w:sz w:val="21"/>
      <w:szCs w:val="21"/>
      <w:color w:val="202A32"/>
      <w:b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rFonts w:ascii="Open Sans" w:cs="Open Sans" w:eastAsia="Open Sans" w:hAnsi="Open Sans"/>
      <w:sz w:val="19"/>
      <w:szCs w:val="19"/>
      <w:color w:val="167C80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8" Target="media/rId18.png" /><Relationship Type="http://schemas.openxmlformats.org/officeDocument/2006/relationships/hyperlink" Id="rId10" Target="https://connects.catalyst.harvard.edu/Profiles/profile/332013997" TargetMode="External" /><Relationship Type="http://schemas.openxmlformats.org/officeDocument/2006/relationships/hyperlink" Id="rId22" Target="https://doi.org/10.1002/1878-0261.70276" TargetMode="External" /><Relationship Type="http://schemas.openxmlformats.org/officeDocument/2006/relationships/hyperlink" Id="rId24" Target="https://doi.org/10.1101/2022.06.01.494299" TargetMode="External" /><Relationship Type="http://schemas.openxmlformats.org/officeDocument/2006/relationships/hyperlink" Id="rId23" Target="https://doi.org/10.1126/sciadv.adg2263" TargetMode="External" /><Relationship Type="http://schemas.openxmlformats.org/officeDocument/2006/relationships/hyperlink" Id="rId15" Target="https://github.com/kstawiski" TargetMode="External" /><Relationship Type="http://schemas.openxmlformats.org/officeDocument/2006/relationships/hyperlink" Id="rId27" Target="https://github.com/kstawiski/notatnik-adk-slice-public" TargetMode="External" /><Relationship Type="http://schemas.openxmlformats.org/officeDocument/2006/relationships/hyperlink" Id="rId14" Target="https://link.konsta.com.pl/scholar" TargetMode="External" /><Relationship Type="http://schemas.openxmlformats.org/officeDocument/2006/relationships/hyperlink" Id="rId13" Target="https://openalex.org/A5015231262" TargetMode="External" /><Relationship Type="http://schemas.openxmlformats.org/officeDocument/2006/relationships/hyperlink" Id="rId11" Target="https://orcid.org/0000-0002-6550-3384" TargetMode="External" /><Relationship Type="http://schemas.openxmlformats.org/officeDocument/2006/relationships/hyperlink" Id="rId12" Target="https://pubmed.ncbi.nlm.nih.gov/?term=Stawiski+K%5BAuthor%5D" TargetMode="External" /><Relationship Type="http://schemas.openxmlformats.org/officeDocument/2006/relationships/hyperlink" Id="rId9" Target="mailto:konrad@konsta.com.p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connects.catalyst.harvard.edu/Profiles/profile/332013997" TargetMode="External" /><Relationship Type="http://schemas.openxmlformats.org/officeDocument/2006/relationships/hyperlink" Id="rId22" Target="https://doi.org/10.1002/1878-0261.70276" TargetMode="External" /><Relationship Type="http://schemas.openxmlformats.org/officeDocument/2006/relationships/hyperlink" Id="rId24" Target="https://doi.org/10.1101/2022.06.01.494299" TargetMode="External" /><Relationship Type="http://schemas.openxmlformats.org/officeDocument/2006/relationships/hyperlink" Id="rId23" Target="https://doi.org/10.1126/sciadv.adg2263" TargetMode="External" /><Relationship Type="http://schemas.openxmlformats.org/officeDocument/2006/relationships/hyperlink" Id="rId15" Target="https://github.com/kstawiski" TargetMode="External" /><Relationship Type="http://schemas.openxmlformats.org/officeDocument/2006/relationships/hyperlink" Id="rId27" Target="https://github.com/kstawiski/notatnik-adk-slice-public" TargetMode="External" /><Relationship Type="http://schemas.openxmlformats.org/officeDocument/2006/relationships/hyperlink" Id="rId14" Target="https://link.konsta.com.pl/scholar" TargetMode="External" /><Relationship Type="http://schemas.openxmlformats.org/officeDocument/2006/relationships/hyperlink" Id="rId13" Target="https://openalex.org/A5015231262" TargetMode="External" /><Relationship Type="http://schemas.openxmlformats.org/officeDocument/2006/relationships/hyperlink" Id="rId11" Target="https://orcid.org/0000-0002-6550-3384" TargetMode="External" /><Relationship Type="http://schemas.openxmlformats.org/officeDocument/2006/relationships/hyperlink" Id="rId12" Target="https://pubmed.ncbi.nlm.nih.gov/?term=Stawiski+K%5BAuthor%5D" TargetMode="External" /><Relationship Type="http://schemas.openxmlformats.org/officeDocument/2006/relationships/hyperlink" Id="rId9" Target="mailto:konrad@konsta.com.p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Konrad Stawiski</dc:title>
  <dc:creator/>
  <dc:language>pl-PL</dc:language>
  <cp:keywords/>
  <dcterms:created xsi:type="dcterms:W3CDTF">2026-07-13T19:52:19Z</dcterms:created>
  <dcterms:modified xsi:type="dcterms:W3CDTF">2026-07-13T19:52:19Z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False</vt:lpwstr>
  </property>
  <property fmtid="{D5CDD505-2E9C-101B-9397-08002B2CF9AE}" pid="3" name="mainfont">
    <vt:lpwstr>Open Sans</vt:lpwstr>
  </property>
  <property fmtid="{D5CDD505-2E9C-101B-9397-08002B2CF9AE}" pid="4" name="monofont">
    <vt:lpwstr>Latin Modern Mono</vt:lpwstr>
  </property>
  <property fmtid="{D5CDD505-2E9C-101B-9397-08002B2CF9AE}" pid="5" name="output">
    <vt:lpwstr/>
  </property>
  <property fmtid="{D5CDD505-2E9C-101B-9397-08002B2CF9AE}" pid="6" name="sansfont">
    <vt:lpwstr>Open Sans</vt:lpwstr>
  </property>
  <property fmtid="{D5CDD505-2E9C-101B-9397-08002B2CF9AE}" pid="7" name="subtitle">
    <vt:lpwstr>Lekarz specjalista radioterapii onkologicznej i badacz kliniczno-translacyjny</vt:lpwstr>
  </property>
</Properties>
</file>